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6565"/>
      </w:tblGrid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Lesson Number 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Suggested teaching activity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1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b/>
                <w:sz w:val="40"/>
                <w:szCs w:val="40"/>
              </w:rPr>
              <w:t xml:space="preserve">Focusing activity: </w:t>
            </w:r>
            <w:r w:rsidRPr="002066C2">
              <w:rPr>
                <w:rFonts w:ascii="FoundationBold" w:hAnsi="FoundationBold"/>
                <w:sz w:val="40"/>
                <w:szCs w:val="40"/>
              </w:rPr>
              <w:t xml:space="preserve">Class discussion focused image </w:t>
            </w:r>
            <w:proofErr w:type="gramStart"/>
            <w:r w:rsidRPr="002066C2">
              <w:rPr>
                <w:rFonts w:ascii="FoundationBold" w:hAnsi="FoundationBold"/>
                <w:sz w:val="40"/>
                <w:szCs w:val="40"/>
              </w:rPr>
              <w:t>collage found in slide</w:t>
            </w:r>
            <w:proofErr w:type="gramEnd"/>
            <w:r w:rsidRPr="002066C2">
              <w:rPr>
                <w:rFonts w:ascii="FoundationBold" w:hAnsi="FoundationBold"/>
                <w:sz w:val="40"/>
                <w:szCs w:val="40"/>
              </w:rPr>
              <w:t xml:space="preserve"> two of Eucharist flipchart. </w:t>
            </w:r>
          </w:p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</w:p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Discussion questions include </w:t>
            </w:r>
          </w:p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What elements go into sharing a meal?</w:t>
            </w:r>
          </w:p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What is similar about all of these meals?</w:t>
            </w:r>
          </w:p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What is different about all of these meals?</w:t>
            </w:r>
          </w:p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</w:p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b/>
                <w:sz w:val="40"/>
                <w:szCs w:val="40"/>
              </w:rPr>
              <w:t>Lesson activity:</w:t>
            </w:r>
            <w:r w:rsidRPr="002066C2">
              <w:rPr>
                <w:rFonts w:ascii="FoundationBold" w:hAnsi="FoundationBold"/>
                <w:sz w:val="40"/>
                <w:szCs w:val="40"/>
              </w:rPr>
              <w:t xml:space="preserve"> Have children create their own table where they can invite people to share a meal (slide three of Eucharist flipchart). Place these on display in the classroom.</w:t>
            </w:r>
          </w:p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</w:p>
        </w:tc>
        <w:bookmarkStart w:id="0" w:name="_GoBack"/>
        <w:bookmarkEnd w:id="0"/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2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Create a word wall with the words that will be used throughout the unit with the students. 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3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Read the book Rose Blanche by </w:t>
            </w:r>
            <w:r w:rsidRPr="002066C2">
              <w:rPr>
                <w:rFonts w:ascii="FoundationBold" w:hAnsi="FoundationBold"/>
                <w:sz w:val="40"/>
                <w:szCs w:val="40"/>
              </w:rPr>
              <w:softHyphen/>
              <w:t xml:space="preserve"> Roberto </w:t>
            </w:r>
            <w:proofErr w:type="spellStart"/>
            <w:r w:rsidRPr="002066C2">
              <w:rPr>
                <w:rFonts w:ascii="FoundationBold" w:hAnsi="FoundationBold"/>
                <w:sz w:val="40"/>
                <w:szCs w:val="40"/>
              </w:rPr>
              <w:t>Innocenti</w:t>
            </w:r>
            <w:proofErr w:type="spellEnd"/>
            <w:r w:rsidRPr="002066C2">
              <w:rPr>
                <w:rFonts w:ascii="FoundationBold" w:hAnsi="FoundationBold"/>
                <w:sz w:val="40"/>
                <w:szCs w:val="40"/>
              </w:rPr>
              <w:t xml:space="preserve">. Complete the think, pair, </w:t>
            </w:r>
            <w:proofErr w:type="gramStart"/>
            <w:r w:rsidRPr="002066C2">
              <w:rPr>
                <w:rFonts w:ascii="FoundationBold" w:hAnsi="FoundationBold"/>
                <w:sz w:val="40"/>
                <w:szCs w:val="40"/>
              </w:rPr>
              <w:t>share</w:t>
            </w:r>
            <w:proofErr w:type="gramEnd"/>
            <w:r w:rsidRPr="002066C2">
              <w:rPr>
                <w:rFonts w:ascii="FoundationBold" w:hAnsi="FoundationBold"/>
                <w:sz w:val="40"/>
                <w:szCs w:val="40"/>
              </w:rPr>
              <w:t xml:space="preserve"> activity from the Rose Blanche flipchart.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4 and 5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Reread the book Rose Blanche by Roberto </w:t>
            </w:r>
            <w:proofErr w:type="spellStart"/>
            <w:r w:rsidRPr="002066C2">
              <w:rPr>
                <w:rFonts w:ascii="FoundationBold" w:hAnsi="FoundationBold"/>
                <w:sz w:val="40"/>
                <w:szCs w:val="40"/>
              </w:rPr>
              <w:t>Innocenti</w:t>
            </w:r>
            <w:proofErr w:type="spellEnd"/>
            <w:r w:rsidRPr="002066C2">
              <w:rPr>
                <w:rFonts w:ascii="FoundationBold" w:hAnsi="FoundationBold"/>
                <w:sz w:val="40"/>
                <w:szCs w:val="40"/>
              </w:rPr>
              <w:t xml:space="preserve">. Complete the teacher lead discussion from Rose Blanche flipchart. Complete the Venn Diagram on how the meal shared in Rose Blanche and the Eucharist are similar.  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6 and 7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Have students complete Y chart found on the fourth slide of the Eucharist flipchart. Draw out the meanings of the symbols used in the Eucharist. Share this as a class during a shared prayer session. 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lastRenderedPageBreak/>
              <w:t>Lesson 8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Learn the song Our Supper Invitation and discuss the nourishment and meaning of the song. 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9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Students complete the sentence In the Eucharist </w:t>
            </w:r>
            <w:proofErr w:type="gramStart"/>
            <w:r w:rsidRPr="002066C2">
              <w:rPr>
                <w:rFonts w:ascii="FoundationBold" w:hAnsi="FoundationBold"/>
                <w:sz w:val="40"/>
                <w:szCs w:val="40"/>
              </w:rPr>
              <w:t>we</w:t>
            </w:r>
            <w:r w:rsidRPr="002066C2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Pr="002066C2">
              <w:rPr>
                <w:rFonts w:ascii="FoundationBold" w:hAnsi="FoundationBold"/>
                <w:sz w:val="40"/>
                <w:szCs w:val="40"/>
              </w:rPr>
              <w:t>..</w:t>
            </w:r>
            <w:proofErr w:type="gramEnd"/>
            <w:r w:rsidRPr="002066C2">
              <w:rPr>
                <w:rFonts w:ascii="FoundationBold" w:hAnsi="FoundationBold"/>
                <w:sz w:val="40"/>
                <w:szCs w:val="40"/>
              </w:rPr>
              <w:t xml:space="preserve"> This is then shared with the class during a prayer session. 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10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Read the scripture The Road to Emmaus Luke 24:1-35 from the Bible (Draw out meaning, define words, show pictures of terrain, map of area </w:t>
            </w:r>
            <w:proofErr w:type="spellStart"/>
            <w:r w:rsidRPr="002066C2">
              <w:rPr>
                <w:rFonts w:ascii="FoundationBold" w:hAnsi="FoundationBold"/>
                <w:sz w:val="40"/>
                <w:szCs w:val="40"/>
              </w:rPr>
              <w:t>ect</w:t>
            </w:r>
            <w:proofErr w:type="spellEnd"/>
            <w:r w:rsidRPr="002066C2">
              <w:rPr>
                <w:rFonts w:ascii="FoundationBold" w:hAnsi="FoundationBold"/>
                <w:sz w:val="40"/>
                <w:szCs w:val="40"/>
              </w:rPr>
              <w:t>)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11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Godly play session with I wonder activity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12 and 13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Watch the Video On the Road to Emmaus </w:t>
            </w:r>
            <w:r w:rsidRPr="002066C2">
              <w:rPr>
                <w:rFonts w:ascii="FoundationBold" w:hAnsi="FoundationBold"/>
                <w:sz w:val="40"/>
                <w:szCs w:val="40"/>
              </w:rPr>
              <w:softHyphen/>
            </w:r>
            <w:r w:rsidRPr="002066C2">
              <w:rPr>
                <w:rFonts w:ascii="FoundationBold" w:hAnsi="FoundationBold"/>
                <w:sz w:val="40"/>
                <w:szCs w:val="40"/>
              </w:rPr>
              <w:softHyphen/>
              <w:t>and complete the On the Road to Emmaus activity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14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Retell story of The Road to Emmaus Luke 24:1-35 through curtains up curtains down task 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15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Define and discuss different types of nourishment. Discuss how the Eucharist nourishes us for our Christian Journey. 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16 and 17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widowControl w:val="0"/>
              <w:autoSpaceDE w:val="0"/>
              <w:autoSpaceDN w:val="0"/>
              <w:adjustRightInd w:val="0"/>
              <w:rPr>
                <w:rFonts w:ascii="FoundationBold" w:hAnsi="FoundationBold" w:cs="Times New Roman"/>
                <w:sz w:val="40"/>
                <w:szCs w:val="40"/>
              </w:rPr>
            </w:pPr>
            <w:r w:rsidRPr="002066C2">
              <w:rPr>
                <w:rFonts w:ascii="FoundationBold" w:hAnsi="FoundationBold" w:cs="Times New Roman"/>
                <w:sz w:val="40"/>
                <w:szCs w:val="40"/>
              </w:rPr>
              <w:t>In group’s research child poverty, investigating the problems of meeting the basic physical and emotional needs of millions of the world’s children. Students complete a poster to display what they have learnt.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 xml:space="preserve">Lesson 18 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widowControl w:val="0"/>
              <w:autoSpaceDE w:val="0"/>
              <w:autoSpaceDN w:val="0"/>
              <w:adjustRightInd w:val="0"/>
              <w:rPr>
                <w:rFonts w:ascii="FoundationBold" w:hAnsi="FoundationBold" w:cs="Times New Roman"/>
                <w:sz w:val="40"/>
                <w:szCs w:val="40"/>
              </w:rPr>
            </w:pPr>
            <w:r w:rsidRPr="002066C2">
              <w:rPr>
                <w:rFonts w:ascii="FoundationBold" w:hAnsi="FoundationBold" w:cs="Times New Roman"/>
                <w:sz w:val="40"/>
                <w:szCs w:val="40"/>
              </w:rPr>
              <w:t xml:space="preserve">Students present their findings to the class and brainstorm strategies to help children in need. 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20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widowControl w:val="0"/>
              <w:autoSpaceDE w:val="0"/>
              <w:autoSpaceDN w:val="0"/>
              <w:adjustRightInd w:val="0"/>
              <w:rPr>
                <w:rFonts w:ascii="FoundationBold" w:hAnsi="FoundationBold" w:cs="Times New Roman"/>
                <w:sz w:val="40"/>
                <w:szCs w:val="40"/>
              </w:rPr>
            </w:pPr>
            <w:r w:rsidRPr="002066C2">
              <w:rPr>
                <w:rFonts w:ascii="FoundationBold" w:hAnsi="FoundationBold" w:cs="Times New Roman"/>
                <w:sz w:val="40"/>
                <w:szCs w:val="40"/>
              </w:rPr>
              <w:t>Students experience the Eucharist through a multisensory approach. Share their experience through a prayer session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21 and 22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widowControl w:val="0"/>
              <w:autoSpaceDE w:val="0"/>
              <w:autoSpaceDN w:val="0"/>
              <w:adjustRightInd w:val="0"/>
              <w:rPr>
                <w:rFonts w:ascii="FoundationBold" w:hAnsi="FoundationBold" w:cs="Times New Roman"/>
                <w:sz w:val="40"/>
                <w:szCs w:val="40"/>
              </w:rPr>
            </w:pPr>
            <w:r w:rsidRPr="002066C2">
              <w:rPr>
                <w:rFonts w:ascii="FoundationBold" w:hAnsi="FoundationBold" w:cs="Times New Roman"/>
                <w:sz w:val="40"/>
                <w:szCs w:val="40"/>
              </w:rPr>
              <w:t>In groups have the students list ways people can participate ‘fully, consciously and actively’ in the celebration of he various parts of the Mass outlined on the handout.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23 and 24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widowControl w:val="0"/>
              <w:autoSpaceDE w:val="0"/>
              <w:autoSpaceDN w:val="0"/>
              <w:adjustRightInd w:val="0"/>
              <w:rPr>
                <w:rFonts w:ascii="FoundationBold" w:hAnsi="FoundationBold" w:cs="Times New Roman"/>
                <w:sz w:val="40"/>
                <w:szCs w:val="40"/>
              </w:rPr>
            </w:pPr>
            <w:r w:rsidRPr="002066C2">
              <w:rPr>
                <w:rFonts w:ascii="FoundationBold" w:hAnsi="FoundationBold" w:cs="Times New Roman"/>
                <w:sz w:val="40"/>
                <w:szCs w:val="40"/>
              </w:rPr>
              <w:t>Students create their own mass celebration that will be shared in the following lesson.</w:t>
            </w:r>
          </w:p>
        </w:tc>
      </w:tr>
      <w:tr w:rsidR="00BA498A" w:rsidRPr="002066C2" w:rsidTr="00265BA9">
        <w:tc>
          <w:tcPr>
            <w:tcW w:w="2269" w:type="dxa"/>
          </w:tcPr>
          <w:p w:rsidR="00BA498A" w:rsidRPr="002066C2" w:rsidRDefault="00BA498A" w:rsidP="00265BA9">
            <w:pPr>
              <w:rPr>
                <w:rFonts w:ascii="FoundationBold" w:hAnsi="FoundationBold"/>
                <w:sz w:val="40"/>
                <w:szCs w:val="40"/>
              </w:rPr>
            </w:pPr>
            <w:r w:rsidRPr="002066C2">
              <w:rPr>
                <w:rFonts w:ascii="FoundationBold" w:hAnsi="FoundationBold"/>
                <w:sz w:val="40"/>
                <w:szCs w:val="40"/>
              </w:rPr>
              <w:t>Lesson 25</w:t>
            </w:r>
          </w:p>
        </w:tc>
        <w:tc>
          <w:tcPr>
            <w:tcW w:w="6565" w:type="dxa"/>
          </w:tcPr>
          <w:p w:rsidR="00BA498A" w:rsidRPr="002066C2" w:rsidRDefault="00BA498A" w:rsidP="00265BA9">
            <w:pPr>
              <w:widowControl w:val="0"/>
              <w:autoSpaceDE w:val="0"/>
              <w:autoSpaceDN w:val="0"/>
              <w:adjustRightInd w:val="0"/>
              <w:rPr>
                <w:rFonts w:ascii="FoundationBold" w:hAnsi="FoundationBold" w:cs="Times New Roman"/>
                <w:sz w:val="40"/>
                <w:szCs w:val="40"/>
              </w:rPr>
            </w:pPr>
            <w:r w:rsidRPr="002066C2">
              <w:rPr>
                <w:rFonts w:ascii="FoundationBold" w:hAnsi="FoundationBold" w:cs="Times New Roman"/>
                <w:sz w:val="40"/>
                <w:szCs w:val="40"/>
              </w:rPr>
              <w:t>Class mass with the Eucharist celebration</w:t>
            </w:r>
          </w:p>
        </w:tc>
      </w:tr>
    </w:tbl>
    <w:p w:rsidR="00306154" w:rsidRDefault="00306154"/>
    <w:sectPr w:rsidR="00306154" w:rsidSect="008353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undation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8A"/>
    <w:rsid w:val="00306154"/>
    <w:rsid w:val="008353B9"/>
    <w:rsid w:val="00B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96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2343</Characters>
  <Application>Microsoft Macintosh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Irvine</dc:creator>
  <cp:keywords/>
  <dc:description/>
  <cp:lastModifiedBy>Natalie Irvine</cp:lastModifiedBy>
  <cp:revision>1</cp:revision>
  <dcterms:created xsi:type="dcterms:W3CDTF">2013-07-20T01:05:00Z</dcterms:created>
  <dcterms:modified xsi:type="dcterms:W3CDTF">2013-07-20T01:07:00Z</dcterms:modified>
</cp:coreProperties>
</file>